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9F" w:rsidRDefault="00D96AB7" w:rsidP="00D96AB7">
      <w:pPr>
        <w:spacing w:after="0" w:line="240" w:lineRule="auto"/>
        <w:jc w:val="center"/>
        <w:rPr>
          <w:b/>
          <w:sz w:val="24"/>
          <w:u w:val="single"/>
          <w:lang w:val="en-US"/>
        </w:rPr>
      </w:pPr>
      <w:r w:rsidRPr="008B0A88">
        <w:rPr>
          <w:b/>
          <w:sz w:val="24"/>
          <w:u w:val="single"/>
          <w:lang w:val="en-US"/>
        </w:rPr>
        <w:t>Urban Environments</w:t>
      </w:r>
    </w:p>
    <w:p w:rsidR="008B0A88" w:rsidRPr="0060109B" w:rsidRDefault="008B0A88" w:rsidP="008B0A88">
      <w:pPr>
        <w:spacing w:after="0" w:line="240" w:lineRule="auto"/>
        <w:rPr>
          <w:b/>
          <w:sz w:val="20"/>
          <w:lang w:val="en-US"/>
        </w:rPr>
      </w:pPr>
      <w:r w:rsidRPr="0060109B">
        <w:rPr>
          <w:b/>
          <w:sz w:val="20"/>
          <w:lang w:val="en-US"/>
        </w:rPr>
        <w:t>Urban Land Use</w:t>
      </w:r>
    </w:p>
    <w:p w:rsidR="008B0A88" w:rsidRPr="0060109B" w:rsidRDefault="00D81EC2" w:rsidP="008B0A88">
      <w:pPr>
        <w:spacing w:after="0" w:line="240" w:lineRule="auto"/>
        <w:rPr>
          <w:b/>
          <w:sz w:val="20"/>
          <w:lang w:val="en-US"/>
        </w:rPr>
      </w:pPr>
      <w:r w:rsidRPr="0060109B">
        <w:rPr>
          <w:b/>
          <w:sz w:val="20"/>
          <w:lang w:val="en-US"/>
        </w:rPr>
        <w:t>(Waugh pp.418)</w:t>
      </w:r>
    </w:p>
    <w:p w:rsidR="000C407F" w:rsidRDefault="000C407F" w:rsidP="008B0A88">
      <w:pPr>
        <w:spacing w:after="0" w:line="240" w:lineRule="auto"/>
        <w:rPr>
          <w:b/>
          <w:sz w:val="20"/>
          <w:lang w:val="en-US"/>
        </w:rPr>
      </w:pPr>
      <w:proofErr w:type="gramStart"/>
      <w:r>
        <w:rPr>
          <w:b/>
          <w:sz w:val="20"/>
          <w:lang w:val="en-US"/>
        </w:rPr>
        <w:t>Stage in Life Cycle</w:t>
      </w:r>
      <w:r w:rsidR="00BE0D40" w:rsidRPr="00BE0D40">
        <w:rPr>
          <w:sz w:val="20"/>
          <w:lang w:val="en-US"/>
        </w:rPr>
        <w:t>.</w:t>
      </w:r>
      <w:proofErr w:type="gramEnd"/>
      <w:r w:rsidR="00BE0D40" w:rsidRPr="00BE0D40">
        <w:rPr>
          <w:sz w:val="20"/>
          <w:lang w:val="en-US"/>
        </w:rPr>
        <w:t xml:space="preserve"> Movement</w:t>
      </w:r>
      <w:r w:rsidR="00BE0D40">
        <w:rPr>
          <w:sz w:val="20"/>
          <w:lang w:val="en-US"/>
        </w:rPr>
        <w:t>s between frames of the CBD or any urban area in order to satisfy one’s specific temporary needs corresponding to the age group to which one belongs.</w:t>
      </w:r>
    </w:p>
    <w:p w:rsidR="000C407F" w:rsidRPr="00027018" w:rsidRDefault="000C407F" w:rsidP="008B0A88">
      <w:pPr>
        <w:spacing w:after="0" w:line="240" w:lineRule="auto"/>
        <w:rPr>
          <w:sz w:val="20"/>
          <w:lang w:val="en-US"/>
        </w:rPr>
      </w:pPr>
      <w:r>
        <w:rPr>
          <w:b/>
          <w:sz w:val="20"/>
          <w:lang w:val="en-US"/>
        </w:rPr>
        <w:t>Patterns in Poverty</w:t>
      </w:r>
      <w:r w:rsidR="00027018">
        <w:rPr>
          <w:b/>
          <w:sz w:val="20"/>
          <w:lang w:val="en-US"/>
        </w:rPr>
        <w:t xml:space="preserve">: </w:t>
      </w:r>
      <w:r w:rsidR="00027018" w:rsidRPr="00027018">
        <w:rPr>
          <w:sz w:val="20"/>
          <w:lang w:val="en-US"/>
        </w:rPr>
        <w:t>Trends in usual factors determining whether a poor</w:t>
      </w:r>
      <w:r w:rsidR="00027018">
        <w:rPr>
          <w:sz w:val="20"/>
          <w:lang w:val="en-US"/>
        </w:rPr>
        <w:t xml:space="preserve"> population will settle or not.</w:t>
      </w:r>
    </w:p>
    <w:p w:rsidR="000C407F" w:rsidRPr="00D81EC2" w:rsidRDefault="000C407F" w:rsidP="008B0A88">
      <w:pPr>
        <w:spacing w:after="0" w:line="240" w:lineRule="auto"/>
        <w:rPr>
          <w:b/>
          <w:sz w:val="20"/>
          <w:lang w:val="en-US"/>
        </w:rPr>
      </w:pPr>
      <w:r>
        <w:rPr>
          <w:b/>
          <w:sz w:val="20"/>
          <w:lang w:val="en-US"/>
        </w:rPr>
        <w:t>Movement of Socio-economic Groups since 1980</w:t>
      </w:r>
      <w:r w:rsidR="005A533B">
        <w:rPr>
          <w:b/>
          <w:sz w:val="20"/>
          <w:lang w:val="en-US"/>
        </w:rPr>
        <w:t xml:space="preserve"> (see Case studies)</w:t>
      </w:r>
    </w:p>
    <w:p w:rsidR="000C407F" w:rsidRPr="00027018" w:rsidRDefault="000C407F" w:rsidP="008B0A88">
      <w:pPr>
        <w:spacing w:after="0" w:line="240" w:lineRule="auto"/>
        <w:rPr>
          <w:sz w:val="20"/>
          <w:lang w:val="en-US"/>
        </w:rPr>
      </w:pPr>
      <w:r>
        <w:rPr>
          <w:b/>
          <w:sz w:val="20"/>
          <w:lang w:val="en-US"/>
        </w:rPr>
        <w:t>CBD Core model</w:t>
      </w:r>
      <w:r w:rsidR="00D4623A">
        <w:rPr>
          <w:b/>
          <w:sz w:val="20"/>
          <w:lang w:val="en-US"/>
        </w:rPr>
        <w:t xml:space="preserve">: </w:t>
      </w:r>
      <w:r w:rsidR="00D4623A" w:rsidRPr="00027018">
        <w:rPr>
          <w:sz w:val="20"/>
          <w:lang w:val="en-US"/>
        </w:rPr>
        <w:t>Model of the average Central Business District, which explains the core as behaving as a system of concentric frames, where each frame represents overall a type of economic activity.</w:t>
      </w:r>
    </w:p>
    <w:p w:rsidR="000C407F" w:rsidRDefault="000C407F" w:rsidP="008B0A88">
      <w:pPr>
        <w:spacing w:after="0" w:line="240" w:lineRule="auto"/>
        <w:rPr>
          <w:b/>
          <w:sz w:val="20"/>
          <w:lang w:val="en-US"/>
        </w:rPr>
      </w:pPr>
      <w:proofErr w:type="gramStart"/>
      <w:r>
        <w:rPr>
          <w:b/>
          <w:sz w:val="20"/>
          <w:lang w:val="en-US"/>
        </w:rPr>
        <w:t>Informal Sector</w:t>
      </w:r>
      <w:r w:rsidR="00BE0D40">
        <w:rPr>
          <w:b/>
          <w:sz w:val="20"/>
          <w:lang w:val="en-US"/>
        </w:rPr>
        <w:t>.</w:t>
      </w:r>
      <w:proofErr w:type="gramEnd"/>
      <w:r w:rsidR="00BE0D40">
        <w:rPr>
          <w:b/>
          <w:sz w:val="20"/>
          <w:lang w:val="en-US"/>
        </w:rPr>
        <w:t xml:space="preserve"> </w:t>
      </w:r>
      <w:proofErr w:type="gramStart"/>
      <w:r w:rsidR="00BE0D40" w:rsidRPr="00D4623A">
        <w:rPr>
          <w:sz w:val="20"/>
          <w:lang w:val="en-US"/>
        </w:rPr>
        <w:t>Often Illegal, no fixed salary</w:t>
      </w:r>
      <w:r w:rsidR="00DA5149" w:rsidRPr="00D4623A">
        <w:rPr>
          <w:sz w:val="20"/>
          <w:lang w:val="en-US"/>
        </w:rPr>
        <w:t>, no insurance</w:t>
      </w:r>
      <w:r w:rsidR="00D4623A">
        <w:rPr>
          <w:sz w:val="20"/>
          <w:lang w:val="en-US"/>
        </w:rPr>
        <w:t>, small scale businesses, almost always individual.</w:t>
      </w:r>
      <w:proofErr w:type="gramEnd"/>
    </w:p>
    <w:p w:rsidR="000C407F" w:rsidRPr="00D81EC2" w:rsidRDefault="000C407F" w:rsidP="008B0A88">
      <w:pPr>
        <w:spacing w:after="0" w:line="240" w:lineRule="auto"/>
        <w:rPr>
          <w:b/>
          <w:sz w:val="20"/>
          <w:lang w:val="en-US"/>
        </w:rPr>
      </w:pPr>
      <w:r>
        <w:rPr>
          <w:b/>
          <w:sz w:val="20"/>
          <w:lang w:val="en-US"/>
        </w:rPr>
        <w:t xml:space="preserve">Causes and Effects of Relocation of Medium/Small </w:t>
      </w:r>
      <w:proofErr w:type="gramStart"/>
      <w:r>
        <w:rPr>
          <w:b/>
          <w:sz w:val="20"/>
          <w:lang w:val="en-US"/>
        </w:rPr>
        <w:t>Businesses</w:t>
      </w:r>
      <w:r w:rsidR="005A533B">
        <w:rPr>
          <w:b/>
          <w:sz w:val="20"/>
          <w:lang w:val="en-US"/>
        </w:rPr>
        <w:t xml:space="preserve"> </w:t>
      </w:r>
      <w:r w:rsidR="00622A6C">
        <w:rPr>
          <w:b/>
          <w:sz w:val="20"/>
          <w:lang w:val="en-US"/>
        </w:rPr>
        <w:t xml:space="preserve"> (</w:t>
      </w:r>
      <w:proofErr w:type="gramEnd"/>
      <w:r w:rsidR="00622A6C">
        <w:rPr>
          <w:b/>
          <w:sz w:val="20"/>
          <w:lang w:val="en-US"/>
        </w:rPr>
        <w:t>see case studies)</w:t>
      </w:r>
      <w:r w:rsidR="005A533B">
        <w:rPr>
          <w:b/>
          <w:sz w:val="20"/>
          <w:lang w:val="en-US"/>
        </w:rPr>
        <w:t xml:space="preserve"> </w:t>
      </w:r>
    </w:p>
    <w:p w:rsidR="00B23758" w:rsidRPr="008B0A88" w:rsidRDefault="00B23758" w:rsidP="00B23758">
      <w:pPr>
        <w:pStyle w:val="NoSpacing"/>
        <w:jc w:val="both"/>
        <w:rPr>
          <w:b/>
          <w:sz w:val="18"/>
          <w:szCs w:val="20"/>
          <w:u w:val="single"/>
        </w:rPr>
      </w:pPr>
      <w:r w:rsidRPr="008B0A88">
        <w:rPr>
          <w:b/>
          <w:sz w:val="18"/>
          <w:szCs w:val="20"/>
          <w:u w:val="single"/>
        </w:rPr>
        <w:t>Inward movement</w:t>
      </w:r>
    </w:p>
    <w:p w:rsidR="00B23758" w:rsidRPr="008B0A88" w:rsidRDefault="00B23758" w:rsidP="00B23758">
      <w:pPr>
        <w:pStyle w:val="NoSpacing"/>
        <w:jc w:val="both"/>
        <w:rPr>
          <w:b/>
          <w:sz w:val="18"/>
          <w:szCs w:val="20"/>
        </w:rPr>
      </w:pPr>
      <w:r w:rsidRPr="008B0A88">
        <w:rPr>
          <w:b/>
          <w:sz w:val="18"/>
          <w:szCs w:val="20"/>
        </w:rPr>
        <w:t xml:space="preserve">Centripetal movements: </w:t>
      </w:r>
      <w:r w:rsidRPr="008B0A88">
        <w:rPr>
          <w:sz w:val="18"/>
          <w:szCs w:val="20"/>
        </w:rPr>
        <w:t>Is the movement of people towards the urban area. Rural to urban migration due to pull and push factors, such as: -Better paid jobs – More jobs – Education – Night life – etc.</w:t>
      </w:r>
    </w:p>
    <w:p w:rsidR="00B23758" w:rsidRPr="008B0A88" w:rsidRDefault="00B23758" w:rsidP="00B23758">
      <w:pPr>
        <w:pStyle w:val="NoSpacing"/>
        <w:jc w:val="both"/>
        <w:rPr>
          <w:sz w:val="18"/>
          <w:szCs w:val="20"/>
        </w:rPr>
      </w:pPr>
      <w:r w:rsidRPr="008B0A88">
        <w:rPr>
          <w:b/>
          <w:sz w:val="18"/>
          <w:szCs w:val="20"/>
        </w:rPr>
        <w:t xml:space="preserve">Rural to Urban migration: </w:t>
      </w:r>
      <w:r w:rsidRPr="008B0A88">
        <w:rPr>
          <w:sz w:val="18"/>
          <w:szCs w:val="20"/>
        </w:rPr>
        <w:t>Movement of people from the rural areas to the urban areas due to pull and push factors.</w:t>
      </w:r>
    </w:p>
    <w:p w:rsidR="00B23758" w:rsidRPr="008B0A88" w:rsidRDefault="00B23758" w:rsidP="00B23758">
      <w:pPr>
        <w:pStyle w:val="NoSpacing"/>
        <w:jc w:val="both"/>
        <w:rPr>
          <w:b/>
          <w:sz w:val="18"/>
          <w:szCs w:val="20"/>
        </w:rPr>
      </w:pPr>
      <w:r w:rsidRPr="008B0A88">
        <w:rPr>
          <w:b/>
          <w:sz w:val="18"/>
          <w:szCs w:val="20"/>
        </w:rPr>
        <w:t>Gentrification:</w:t>
      </w:r>
      <w:r w:rsidRPr="008B0A88">
        <w:rPr>
          <w:rFonts w:ascii="Trebuchet MS" w:hAnsi="Trebuchet MS"/>
          <w:color w:val="000000"/>
          <w:sz w:val="18"/>
          <w:szCs w:val="20"/>
          <w:shd w:val="clear" w:color="auto" w:fill="FFFFFF"/>
        </w:rPr>
        <w:t xml:space="preserve"> </w:t>
      </w:r>
      <w:r w:rsidRPr="008B0A88">
        <w:rPr>
          <w:rStyle w:val="apple-style-span"/>
          <w:rFonts w:ascii="Trebuchet MS" w:hAnsi="Trebuchet MS"/>
          <w:color w:val="000000"/>
          <w:sz w:val="18"/>
          <w:szCs w:val="20"/>
          <w:shd w:val="clear" w:color="auto" w:fill="FFFFFF"/>
        </w:rPr>
        <w:t>The restoration and upgrading of deteriorated urban property by middle-class or affluent people, often resulting in displacement of lower-income people.</w:t>
      </w:r>
    </w:p>
    <w:p w:rsidR="00B23758" w:rsidRPr="008B0A88" w:rsidRDefault="00B23758" w:rsidP="00B23758">
      <w:pPr>
        <w:pStyle w:val="NoSpacing"/>
        <w:jc w:val="both"/>
        <w:rPr>
          <w:sz w:val="18"/>
          <w:szCs w:val="20"/>
        </w:rPr>
      </w:pPr>
      <w:r w:rsidRPr="008B0A88">
        <w:rPr>
          <w:b/>
          <w:sz w:val="18"/>
          <w:szCs w:val="20"/>
        </w:rPr>
        <w:t xml:space="preserve">Re-urbanization: </w:t>
      </w:r>
      <w:r w:rsidRPr="008B0A88">
        <w:rPr>
          <w:sz w:val="18"/>
          <w:szCs w:val="20"/>
        </w:rPr>
        <w:t xml:space="preserve">The development of activities to increase residential population densities within </w:t>
      </w:r>
    </w:p>
    <w:p w:rsidR="00B23758" w:rsidRPr="008B0A88" w:rsidRDefault="00B23758" w:rsidP="00B23758">
      <w:pPr>
        <w:pStyle w:val="NoSpacing"/>
        <w:jc w:val="both"/>
        <w:rPr>
          <w:sz w:val="18"/>
          <w:szCs w:val="20"/>
        </w:rPr>
      </w:pPr>
      <w:proofErr w:type="gramStart"/>
      <w:r w:rsidRPr="008B0A88">
        <w:rPr>
          <w:sz w:val="18"/>
          <w:szCs w:val="20"/>
        </w:rPr>
        <w:t>the</w:t>
      </w:r>
      <w:proofErr w:type="gramEnd"/>
      <w:r w:rsidRPr="008B0A88">
        <w:rPr>
          <w:sz w:val="18"/>
          <w:szCs w:val="20"/>
        </w:rPr>
        <w:t xml:space="preserve"> existing built</w:t>
      </w:r>
      <w:r w:rsidRPr="008B0A88">
        <w:rPr>
          <w:rFonts w:ascii="MS Gothic" w:eastAsia="MS Gothic" w:hAnsi="MS Gothic" w:cs="MS Gothic" w:hint="eastAsia"/>
          <w:sz w:val="18"/>
          <w:szCs w:val="20"/>
        </w:rPr>
        <w:t>-</w:t>
      </w:r>
      <w:r w:rsidRPr="008B0A88">
        <w:rPr>
          <w:rFonts w:cs="Calibri"/>
          <w:sz w:val="18"/>
          <w:szCs w:val="20"/>
        </w:rPr>
        <w:t xml:space="preserve">up area of a city. </w:t>
      </w:r>
    </w:p>
    <w:p w:rsidR="00B23758" w:rsidRPr="008B0A88" w:rsidRDefault="00B23758" w:rsidP="00B23758">
      <w:pPr>
        <w:pStyle w:val="NoSpacing"/>
        <w:jc w:val="both"/>
        <w:rPr>
          <w:b/>
          <w:sz w:val="18"/>
          <w:szCs w:val="20"/>
        </w:rPr>
      </w:pPr>
      <w:r w:rsidRPr="008B0A88">
        <w:rPr>
          <w:b/>
          <w:sz w:val="18"/>
          <w:szCs w:val="20"/>
        </w:rPr>
        <w:t>Urban renewable:</w:t>
      </w:r>
      <w:r w:rsidRPr="008B0A88">
        <w:rPr>
          <w:rFonts w:ascii="Trebuchet MS" w:hAnsi="Trebuchet MS"/>
          <w:color w:val="000000"/>
          <w:sz w:val="18"/>
          <w:szCs w:val="20"/>
          <w:shd w:val="clear" w:color="auto" w:fill="FFFFFF"/>
        </w:rPr>
        <w:t xml:space="preserve"> </w:t>
      </w:r>
      <w:r w:rsidRPr="008B0A88">
        <w:rPr>
          <w:rStyle w:val="apple-style-span"/>
          <w:color w:val="000000"/>
          <w:sz w:val="18"/>
          <w:szCs w:val="20"/>
          <w:shd w:val="clear" w:color="auto" w:fill="FFFFFF"/>
        </w:rPr>
        <w:t xml:space="preserve">Rehabilitation of impoverished urban </w:t>
      </w:r>
      <w:r w:rsidR="00BE0D40" w:rsidRPr="008B0A88">
        <w:rPr>
          <w:rStyle w:val="apple-style-span"/>
          <w:color w:val="000000"/>
          <w:sz w:val="18"/>
          <w:szCs w:val="20"/>
          <w:shd w:val="clear" w:color="auto" w:fill="FFFFFF"/>
        </w:rPr>
        <w:t>neighborhoods</w:t>
      </w:r>
      <w:r w:rsidRPr="008B0A88">
        <w:rPr>
          <w:rStyle w:val="apple-style-span"/>
          <w:color w:val="000000"/>
          <w:sz w:val="18"/>
          <w:szCs w:val="20"/>
          <w:shd w:val="clear" w:color="auto" w:fill="FFFFFF"/>
        </w:rPr>
        <w:t xml:space="preserve"> by large-scale renovation or reconstruction of housing and public work.</w:t>
      </w:r>
    </w:p>
    <w:p w:rsidR="00B23758" w:rsidRPr="008B0A88" w:rsidRDefault="00B23758" w:rsidP="00B23758">
      <w:pPr>
        <w:pStyle w:val="NoSpacing"/>
        <w:jc w:val="both"/>
        <w:rPr>
          <w:b/>
          <w:sz w:val="18"/>
          <w:szCs w:val="20"/>
          <w:u w:val="single"/>
        </w:rPr>
      </w:pPr>
      <w:r w:rsidRPr="008B0A88">
        <w:rPr>
          <w:b/>
          <w:sz w:val="18"/>
          <w:szCs w:val="20"/>
          <w:u w:val="single"/>
        </w:rPr>
        <w:t>Outward movement:</w:t>
      </w:r>
    </w:p>
    <w:p w:rsidR="00B23758" w:rsidRPr="008B0A88" w:rsidRDefault="00B23758" w:rsidP="00B23758">
      <w:pPr>
        <w:pStyle w:val="NoSpacing"/>
        <w:jc w:val="both"/>
        <w:rPr>
          <w:b/>
          <w:sz w:val="18"/>
          <w:szCs w:val="20"/>
        </w:rPr>
      </w:pPr>
      <w:r w:rsidRPr="008B0A88">
        <w:rPr>
          <w:b/>
          <w:sz w:val="18"/>
          <w:szCs w:val="20"/>
        </w:rPr>
        <w:t xml:space="preserve">Centrifugal movements: </w:t>
      </w:r>
      <w:r w:rsidRPr="008B0A88">
        <w:rPr>
          <w:sz w:val="18"/>
          <w:szCs w:val="20"/>
        </w:rPr>
        <w:t xml:space="preserve">Is the opposite of the centripetal movement. Here is when the people </w:t>
      </w:r>
      <w:proofErr w:type="gramStart"/>
      <w:r w:rsidRPr="008B0A88">
        <w:rPr>
          <w:sz w:val="18"/>
          <w:szCs w:val="20"/>
        </w:rPr>
        <w:t>is</w:t>
      </w:r>
      <w:proofErr w:type="gramEnd"/>
      <w:r w:rsidRPr="008B0A88">
        <w:rPr>
          <w:sz w:val="18"/>
          <w:szCs w:val="20"/>
        </w:rPr>
        <w:t xml:space="preserve"> moving away from the city. </w:t>
      </w:r>
    </w:p>
    <w:p w:rsidR="00B23758" w:rsidRPr="008B0A88" w:rsidRDefault="00B23758" w:rsidP="00B23758">
      <w:pPr>
        <w:pStyle w:val="NoSpacing"/>
        <w:jc w:val="both"/>
        <w:rPr>
          <w:b/>
          <w:sz w:val="18"/>
          <w:szCs w:val="20"/>
        </w:rPr>
      </w:pPr>
      <w:r w:rsidRPr="008B0A88">
        <w:rPr>
          <w:b/>
          <w:sz w:val="18"/>
          <w:szCs w:val="20"/>
        </w:rPr>
        <w:t xml:space="preserve">Urban Sprawl: </w:t>
      </w:r>
      <w:r w:rsidRPr="008B0A88">
        <w:rPr>
          <w:sz w:val="18"/>
          <w:szCs w:val="20"/>
        </w:rPr>
        <w:t>The uncontrolled/ unplanned growth of towns and cities outwards</w:t>
      </w:r>
    </w:p>
    <w:p w:rsidR="00B23758" w:rsidRPr="008B0A88" w:rsidRDefault="00B23758" w:rsidP="00B23758">
      <w:pPr>
        <w:pStyle w:val="NoSpacing"/>
        <w:jc w:val="both"/>
        <w:rPr>
          <w:b/>
          <w:sz w:val="18"/>
          <w:szCs w:val="20"/>
        </w:rPr>
      </w:pPr>
      <w:r w:rsidRPr="008B0A88">
        <w:rPr>
          <w:b/>
          <w:sz w:val="18"/>
          <w:szCs w:val="20"/>
        </w:rPr>
        <w:t xml:space="preserve">Counter-urbanization: </w:t>
      </w:r>
      <w:r w:rsidRPr="008B0A88">
        <w:rPr>
          <w:sz w:val="18"/>
          <w:szCs w:val="20"/>
        </w:rPr>
        <w:t>People moving from the CBD to areas going to the rural areas.</w:t>
      </w:r>
    </w:p>
    <w:p w:rsidR="00B23758" w:rsidRPr="008B0A88" w:rsidRDefault="00B23758" w:rsidP="00B23758">
      <w:pPr>
        <w:pStyle w:val="NoSpacing"/>
        <w:jc w:val="both"/>
        <w:rPr>
          <w:b/>
          <w:sz w:val="18"/>
          <w:szCs w:val="20"/>
        </w:rPr>
      </w:pPr>
      <w:proofErr w:type="spellStart"/>
      <w:r w:rsidRPr="008B0A88">
        <w:rPr>
          <w:b/>
          <w:sz w:val="18"/>
          <w:szCs w:val="20"/>
        </w:rPr>
        <w:t>Decentralisation</w:t>
      </w:r>
      <w:proofErr w:type="spellEnd"/>
      <w:r w:rsidRPr="008B0A88">
        <w:rPr>
          <w:b/>
          <w:sz w:val="18"/>
          <w:szCs w:val="20"/>
        </w:rPr>
        <w:t xml:space="preserve">: </w:t>
      </w:r>
      <w:r w:rsidRPr="008B0A88">
        <w:rPr>
          <w:sz w:val="18"/>
          <w:szCs w:val="20"/>
        </w:rPr>
        <w:t>The movement of people and services away from CBD towards the suburban and edge-of-city locations.</w:t>
      </w:r>
    </w:p>
    <w:p w:rsidR="00B23758" w:rsidRPr="008B0A88" w:rsidRDefault="00B23758" w:rsidP="00B23758">
      <w:pPr>
        <w:pStyle w:val="NoSpacing"/>
        <w:rPr>
          <w:b/>
          <w:sz w:val="18"/>
          <w:szCs w:val="20"/>
          <w:u w:val="single"/>
        </w:rPr>
      </w:pPr>
      <w:r w:rsidRPr="008B0A88">
        <w:rPr>
          <w:b/>
          <w:sz w:val="18"/>
          <w:szCs w:val="20"/>
          <w:u w:val="single"/>
        </w:rPr>
        <w:t>The city as a system:</w:t>
      </w:r>
    </w:p>
    <w:p w:rsidR="00B23758" w:rsidRPr="008B0A88" w:rsidRDefault="00B23758" w:rsidP="00B23758">
      <w:pPr>
        <w:pStyle w:val="NoSpacing"/>
        <w:rPr>
          <w:sz w:val="18"/>
          <w:szCs w:val="20"/>
        </w:rPr>
      </w:pPr>
      <w:r w:rsidRPr="008B0A88">
        <w:rPr>
          <w:b/>
          <w:noProof/>
          <w:sz w:val="18"/>
          <w:szCs w:val="20"/>
          <w:lang w:val="en-GB" w:eastAsia="en-GB"/>
        </w:rPr>
        <w:drawing>
          <wp:anchor distT="0" distB="0" distL="114300" distR="114300" simplePos="0" relativeHeight="251660288" behindDoc="1" locked="0" layoutInCell="1" allowOverlap="1">
            <wp:simplePos x="0" y="0"/>
            <wp:positionH relativeFrom="column">
              <wp:posOffset>-76200</wp:posOffset>
            </wp:positionH>
            <wp:positionV relativeFrom="paragraph">
              <wp:posOffset>980440</wp:posOffset>
            </wp:positionV>
            <wp:extent cx="5381625" cy="762000"/>
            <wp:effectExtent l="19050" t="0" r="9525" b="0"/>
            <wp:wrapTight wrapText="bothSides">
              <wp:wrapPolygon edited="0">
                <wp:start x="-76" y="0"/>
                <wp:lineTo x="-76" y="21060"/>
                <wp:lineTo x="21638" y="21060"/>
                <wp:lineTo x="21638" y="0"/>
                <wp:lineTo x="-76" y="0"/>
              </wp:wrapPolygon>
            </wp:wrapTight>
            <wp:docPr id="1" name="Picture 1" descr="http://renewconfucius.files.wordpress.com/2010/08/screen-shot-2010-08-20-at-8-05-46-pm.png"/>
            <wp:cNvGraphicFramePr/>
            <a:graphic xmlns:a="http://schemas.openxmlformats.org/drawingml/2006/main">
              <a:graphicData uri="http://schemas.openxmlformats.org/drawingml/2006/picture">
                <pic:pic xmlns:pic="http://schemas.openxmlformats.org/drawingml/2006/picture">
                  <pic:nvPicPr>
                    <pic:cNvPr id="6146" name="Picture 2" descr="http://renewconfucius.files.wordpress.com/2010/08/screen-shot-2010-08-20-at-8-05-46-pm.png"/>
                    <pic:cNvPicPr>
                      <a:picLocks noChangeAspect="1" noChangeArrowheads="1"/>
                    </pic:cNvPicPr>
                  </pic:nvPicPr>
                  <pic:blipFill>
                    <a:blip r:embed="rId4" cstate="print"/>
                    <a:srcRect/>
                    <a:stretch>
                      <a:fillRect/>
                    </a:stretch>
                  </pic:blipFill>
                  <pic:spPr bwMode="auto">
                    <a:xfrm>
                      <a:off x="0" y="0"/>
                      <a:ext cx="5381625" cy="762000"/>
                    </a:xfrm>
                    <a:prstGeom prst="rect">
                      <a:avLst/>
                    </a:prstGeom>
                    <a:noFill/>
                  </pic:spPr>
                </pic:pic>
              </a:graphicData>
            </a:graphic>
          </wp:anchor>
        </w:drawing>
      </w:r>
      <w:r w:rsidRPr="008B0A88">
        <w:rPr>
          <w:b/>
          <w:sz w:val="18"/>
          <w:szCs w:val="20"/>
        </w:rPr>
        <w:t>City Outputs:</w:t>
      </w:r>
      <w:r w:rsidRPr="008B0A88">
        <w:rPr>
          <w:rFonts w:eastAsia="+mn-ea" w:cs="+mn-cs"/>
          <w:color w:val="000000"/>
          <w:kern w:val="24"/>
          <w:sz w:val="18"/>
          <w:szCs w:val="20"/>
        </w:rPr>
        <w:t xml:space="preserve"> </w:t>
      </w:r>
      <w:r w:rsidRPr="008B0A88">
        <w:rPr>
          <w:sz w:val="18"/>
          <w:szCs w:val="20"/>
        </w:rPr>
        <w:t>Air pollution, Noise Pollution, Water pollution, Lack of green areas (recreation), Higher education, Waste material (rubbish), Traffic, People due to migration.</w:t>
      </w:r>
    </w:p>
    <w:p w:rsidR="00B23758" w:rsidRPr="008B0A88" w:rsidRDefault="00B23758" w:rsidP="00B23758">
      <w:pPr>
        <w:spacing w:line="240" w:lineRule="auto"/>
        <w:rPr>
          <w:sz w:val="18"/>
          <w:szCs w:val="20"/>
          <w:lang w:val="en-US"/>
        </w:rPr>
      </w:pPr>
      <w:r w:rsidRPr="008B0A88">
        <w:rPr>
          <w:b/>
          <w:sz w:val="18"/>
          <w:szCs w:val="20"/>
          <w:lang w:val="en-US"/>
        </w:rPr>
        <w:t xml:space="preserve">City Inputs: </w:t>
      </w:r>
      <w:r w:rsidRPr="008B0A88">
        <w:rPr>
          <w:sz w:val="18"/>
          <w:szCs w:val="20"/>
          <w:lang w:val="en-US"/>
        </w:rPr>
        <w:t>Water, energy, food, products, materials and people due to migration.</w:t>
      </w:r>
    </w:p>
    <w:p w:rsidR="00B23758" w:rsidRPr="008B0A88" w:rsidRDefault="00B23758" w:rsidP="00B23758">
      <w:pPr>
        <w:spacing w:line="240" w:lineRule="auto"/>
        <w:rPr>
          <w:b/>
          <w:sz w:val="18"/>
          <w:szCs w:val="20"/>
          <w:lang w:val="en-US"/>
        </w:rPr>
      </w:pPr>
      <w:r w:rsidRPr="008B0A88">
        <w:rPr>
          <w:b/>
          <w:sz w:val="18"/>
          <w:szCs w:val="20"/>
          <w:lang w:val="en-US"/>
        </w:rPr>
        <w:t xml:space="preserve">Linear system: </w:t>
      </w:r>
    </w:p>
    <w:p w:rsidR="00B23758" w:rsidRPr="008B0A88" w:rsidRDefault="00B23758" w:rsidP="00B23758">
      <w:pPr>
        <w:spacing w:line="240" w:lineRule="auto"/>
        <w:rPr>
          <w:b/>
          <w:sz w:val="18"/>
          <w:szCs w:val="20"/>
          <w:lang w:val="en-US"/>
        </w:rPr>
      </w:pPr>
    </w:p>
    <w:p w:rsidR="00B23758" w:rsidRPr="008B0A88" w:rsidRDefault="00B23758" w:rsidP="00B23758">
      <w:pPr>
        <w:spacing w:line="240" w:lineRule="auto"/>
        <w:rPr>
          <w:b/>
          <w:sz w:val="18"/>
          <w:szCs w:val="20"/>
          <w:lang w:val="en-US"/>
        </w:rPr>
      </w:pPr>
    </w:p>
    <w:p w:rsidR="00B23758" w:rsidRPr="008B0A88" w:rsidRDefault="00B23758" w:rsidP="00B23758">
      <w:pPr>
        <w:spacing w:line="240" w:lineRule="auto"/>
        <w:rPr>
          <w:b/>
          <w:sz w:val="18"/>
          <w:szCs w:val="20"/>
          <w:lang w:val="en-US"/>
        </w:rPr>
      </w:pPr>
      <w:r w:rsidRPr="008B0A88">
        <w:rPr>
          <w:b/>
          <w:sz w:val="18"/>
          <w:szCs w:val="20"/>
          <w:lang w:val="en-US"/>
        </w:rPr>
        <w:t>Forest (materials)</w:t>
      </w:r>
      <w:r w:rsidRPr="008B0A88">
        <w:rPr>
          <w:b/>
          <w:sz w:val="18"/>
          <w:szCs w:val="20"/>
          <w:lang w:val="en-US"/>
        </w:rPr>
        <w:tab/>
      </w:r>
      <w:proofErr w:type="gramStart"/>
      <w:r w:rsidRPr="008B0A88">
        <w:rPr>
          <w:b/>
          <w:sz w:val="18"/>
          <w:szCs w:val="20"/>
          <w:lang w:val="en-US"/>
        </w:rPr>
        <w:t>The</w:t>
      </w:r>
      <w:proofErr w:type="gramEnd"/>
      <w:r w:rsidRPr="008B0A88">
        <w:rPr>
          <w:b/>
          <w:sz w:val="18"/>
          <w:szCs w:val="20"/>
          <w:lang w:val="en-US"/>
        </w:rPr>
        <w:t xml:space="preserve"> factory</w:t>
      </w:r>
      <w:r w:rsidRPr="008B0A88">
        <w:rPr>
          <w:b/>
          <w:sz w:val="18"/>
          <w:szCs w:val="20"/>
          <w:lang w:val="en-US"/>
        </w:rPr>
        <w:tab/>
        <w:t>The shop</w:t>
      </w:r>
      <w:r w:rsidRPr="008B0A88">
        <w:rPr>
          <w:b/>
          <w:sz w:val="18"/>
          <w:szCs w:val="20"/>
          <w:lang w:val="en-US"/>
        </w:rPr>
        <w:tab/>
      </w:r>
      <w:r w:rsidRPr="008B0A88">
        <w:rPr>
          <w:b/>
          <w:sz w:val="18"/>
          <w:szCs w:val="20"/>
          <w:lang w:val="en-US"/>
        </w:rPr>
        <w:tab/>
        <w:t xml:space="preserve"> Houses</w:t>
      </w:r>
      <w:r w:rsidRPr="008B0A88">
        <w:rPr>
          <w:b/>
          <w:sz w:val="18"/>
          <w:szCs w:val="20"/>
          <w:lang w:val="en-US"/>
        </w:rPr>
        <w:tab/>
      </w:r>
      <w:r w:rsidRPr="008B0A88">
        <w:rPr>
          <w:b/>
          <w:sz w:val="18"/>
          <w:szCs w:val="20"/>
          <w:lang w:val="en-US"/>
        </w:rPr>
        <w:tab/>
        <w:t>Waste treatment</w:t>
      </w:r>
    </w:p>
    <w:p w:rsidR="00B23758" w:rsidRPr="008B0A88" w:rsidRDefault="00B23758" w:rsidP="00B23758">
      <w:pPr>
        <w:spacing w:line="240" w:lineRule="auto"/>
        <w:rPr>
          <w:b/>
          <w:sz w:val="18"/>
          <w:szCs w:val="20"/>
          <w:lang w:val="en-US"/>
        </w:rPr>
      </w:pPr>
      <w:r w:rsidRPr="008B0A88">
        <w:rPr>
          <w:b/>
          <w:sz w:val="18"/>
          <w:szCs w:val="20"/>
          <w:lang w:val="en-US"/>
        </w:rPr>
        <w:t>Circular system:</w:t>
      </w:r>
    </w:p>
    <w:p w:rsidR="00B23758" w:rsidRPr="008B0A88" w:rsidRDefault="00B23758" w:rsidP="00B23758">
      <w:pPr>
        <w:spacing w:line="240" w:lineRule="auto"/>
        <w:rPr>
          <w:b/>
          <w:sz w:val="18"/>
          <w:szCs w:val="20"/>
          <w:lang w:val="en-US"/>
        </w:rPr>
      </w:pPr>
      <w:r w:rsidRPr="008B0A88">
        <w:rPr>
          <w:b/>
          <w:noProof/>
          <w:sz w:val="18"/>
          <w:szCs w:val="20"/>
          <w:lang w:val="en-GB" w:eastAsia="en-GB"/>
        </w:rPr>
        <w:drawing>
          <wp:anchor distT="0" distB="0" distL="114300" distR="114300" simplePos="0" relativeHeight="251659264" behindDoc="0" locked="0" layoutInCell="1" allowOverlap="1">
            <wp:simplePos x="0" y="0"/>
            <wp:positionH relativeFrom="column">
              <wp:posOffset>-209550</wp:posOffset>
            </wp:positionH>
            <wp:positionV relativeFrom="paragraph">
              <wp:posOffset>134620</wp:posOffset>
            </wp:positionV>
            <wp:extent cx="3924300" cy="23145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149" name="Picture 5"/>
                    <pic:cNvPicPr>
                      <a:picLocks noChangeAspect="1" noChangeArrowheads="1"/>
                    </pic:cNvPicPr>
                  </pic:nvPicPr>
                  <pic:blipFill>
                    <a:blip r:embed="rId5" cstate="print"/>
                    <a:srcRect/>
                    <a:stretch>
                      <a:fillRect/>
                    </a:stretch>
                  </pic:blipFill>
                  <pic:spPr bwMode="auto">
                    <a:xfrm>
                      <a:off x="0" y="0"/>
                      <a:ext cx="3924300" cy="2314575"/>
                    </a:xfrm>
                    <a:prstGeom prst="rect">
                      <a:avLst/>
                    </a:prstGeom>
                    <a:noFill/>
                    <a:ln w="9525">
                      <a:noFill/>
                      <a:miter lim="800000"/>
                      <a:headEnd/>
                      <a:tailEnd/>
                    </a:ln>
                  </pic:spPr>
                </pic:pic>
              </a:graphicData>
            </a:graphic>
          </wp:anchor>
        </w:drawing>
      </w:r>
    </w:p>
    <w:p w:rsidR="00B23758" w:rsidRPr="008B0A88" w:rsidRDefault="00B23758" w:rsidP="00B23758">
      <w:pPr>
        <w:spacing w:line="240" w:lineRule="auto"/>
        <w:rPr>
          <w:b/>
          <w:sz w:val="18"/>
          <w:szCs w:val="20"/>
          <w:lang w:val="en-US"/>
        </w:rPr>
      </w:pPr>
      <w:r w:rsidRPr="008B0A88">
        <w:rPr>
          <w:b/>
          <w:sz w:val="18"/>
          <w:szCs w:val="20"/>
          <w:lang w:val="en-US"/>
        </w:rPr>
        <w:t xml:space="preserve"> Circular system:  similar to lineal but more effective. Have a clear image of resources being re-used.</w:t>
      </w:r>
    </w:p>
    <w:p w:rsidR="00B23758" w:rsidRPr="008B0A88" w:rsidRDefault="00B23758" w:rsidP="00B23758">
      <w:pPr>
        <w:pStyle w:val="NoSpacing"/>
        <w:rPr>
          <w:sz w:val="14"/>
          <w:szCs w:val="16"/>
        </w:rPr>
      </w:pPr>
    </w:p>
    <w:p w:rsidR="00B23758" w:rsidRPr="008B0A88" w:rsidRDefault="00B23758" w:rsidP="00B23758">
      <w:pPr>
        <w:spacing w:line="240" w:lineRule="auto"/>
        <w:rPr>
          <w:sz w:val="24"/>
          <w:u w:val="single"/>
          <w:lang w:val="en-US"/>
        </w:rPr>
      </w:pPr>
    </w:p>
    <w:p w:rsidR="00B23758" w:rsidRPr="008B0A88" w:rsidRDefault="00B23758" w:rsidP="00B23758">
      <w:pPr>
        <w:pStyle w:val="NoSpacing"/>
        <w:rPr>
          <w:sz w:val="14"/>
          <w:szCs w:val="16"/>
        </w:rPr>
      </w:pPr>
    </w:p>
    <w:p w:rsidR="00B23758" w:rsidRPr="008B0A88" w:rsidRDefault="00B23758" w:rsidP="00B23758">
      <w:pPr>
        <w:spacing w:line="240" w:lineRule="auto"/>
        <w:rPr>
          <w:sz w:val="20"/>
          <w:lang w:val="en-US"/>
        </w:rPr>
      </w:pPr>
    </w:p>
    <w:p w:rsidR="00B23758" w:rsidRPr="008B0A88" w:rsidRDefault="00B23758" w:rsidP="00D96AB7">
      <w:pPr>
        <w:spacing w:after="0" w:line="240" w:lineRule="auto"/>
        <w:jc w:val="center"/>
        <w:rPr>
          <w:b/>
          <w:sz w:val="24"/>
          <w:u w:val="single"/>
          <w:lang w:val="en-US"/>
        </w:rPr>
      </w:pPr>
    </w:p>
    <w:p w:rsidR="00B23758" w:rsidRPr="008B0A88" w:rsidRDefault="00B23758" w:rsidP="00B23758">
      <w:pPr>
        <w:spacing w:line="240" w:lineRule="auto"/>
        <w:rPr>
          <w:b/>
          <w:i/>
          <w:szCs w:val="24"/>
          <w:lang w:val="en-US"/>
        </w:rPr>
      </w:pPr>
    </w:p>
    <w:p w:rsidR="008B0A88" w:rsidRDefault="008B0A88" w:rsidP="00B23758">
      <w:pPr>
        <w:spacing w:line="240" w:lineRule="auto"/>
        <w:rPr>
          <w:b/>
          <w:i/>
          <w:szCs w:val="24"/>
          <w:lang w:val="en-US"/>
        </w:rPr>
      </w:pPr>
    </w:p>
    <w:p w:rsidR="008B0A88" w:rsidRDefault="008B0A88" w:rsidP="00B23758">
      <w:pPr>
        <w:spacing w:line="240" w:lineRule="auto"/>
        <w:rPr>
          <w:b/>
          <w:i/>
          <w:szCs w:val="24"/>
          <w:lang w:val="en-US"/>
        </w:rPr>
      </w:pPr>
    </w:p>
    <w:p w:rsidR="008B0A88" w:rsidRDefault="008B0A88" w:rsidP="00B23758">
      <w:pPr>
        <w:spacing w:line="240" w:lineRule="auto"/>
        <w:rPr>
          <w:b/>
          <w:i/>
          <w:szCs w:val="24"/>
          <w:lang w:val="en-US"/>
        </w:rPr>
      </w:pPr>
    </w:p>
    <w:p w:rsidR="00B23758" w:rsidRPr="008B0A88" w:rsidRDefault="00B23758" w:rsidP="00B23758">
      <w:pPr>
        <w:spacing w:line="240" w:lineRule="auto"/>
        <w:rPr>
          <w:b/>
          <w:i/>
          <w:szCs w:val="24"/>
          <w:lang w:val="en-US"/>
        </w:rPr>
      </w:pPr>
      <w:r w:rsidRPr="008B0A88">
        <w:rPr>
          <w:b/>
          <w:i/>
          <w:szCs w:val="24"/>
          <w:lang w:val="en-US"/>
        </w:rPr>
        <w:t>Urban Stress &amp; Urban Microclimates</w:t>
      </w:r>
    </w:p>
    <w:p w:rsidR="00B23758" w:rsidRPr="008B0A88" w:rsidRDefault="00B23758" w:rsidP="00B23758">
      <w:pPr>
        <w:spacing w:line="240" w:lineRule="auto"/>
        <w:rPr>
          <w:sz w:val="20"/>
          <w:lang w:val="en-US"/>
        </w:rPr>
      </w:pPr>
      <w:r w:rsidRPr="008B0A88">
        <w:rPr>
          <w:b/>
          <w:sz w:val="20"/>
          <w:lang w:val="en-US"/>
        </w:rPr>
        <w:t>Urban stress</w:t>
      </w:r>
      <w:r w:rsidRPr="008B0A88">
        <w:rPr>
          <w:sz w:val="20"/>
          <w:lang w:val="en-US"/>
        </w:rPr>
        <w:t xml:space="preserve"> refers to the environmental quality and health issues that affect LEDCs, but it also speaks about how social factors affect the well being of citizens.</w:t>
      </w:r>
    </w:p>
    <w:p w:rsidR="00B23758" w:rsidRPr="008B0A88" w:rsidRDefault="00B23758" w:rsidP="00B23758">
      <w:pPr>
        <w:spacing w:line="240" w:lineRule="auto"/>
        <w:rPr>
          <w:sz w:val="20"/>
          <w:lang w:val="en-US"/>
        </w:rPr>
      </w:pPr>
      <w:r w:rsidRPr="008B0A88">
        <w:rPr>
          <w:sz w:val="20"/>
          <w:lang w:val="en-US"/>
        </w:rPr>
        <w:t>Air pollution: Increases in industry and car ownership account for the high levels of carbon dioxide into the air, reducing air quality.</w:t>
      </w:r>
    </w:p>
    <w:p w:rsidR="00B23758" w:rsidRPr="008B0A88" w:rsidRDefault="00B23758" w:rsidP="00B23758">
      <w:pPr>
        <w:spacing w:line="240" w:lineRule="auto"/>
        <w:rPr>
          <w:sz w:val="20"/>
          <w:lang w:val="en-US"/>
        </w:rPr>
      </w:pPr>
      <w:r w:rsidRPr="008B0A88">
        <w:rPr>
          <w:sz w:val="20"/>
          <w:lang w:val="en-US"/>
        </w:rPr>
        <w:t xml:space="preserve">Water pollution: The increased surface run-off due to the flat surfaces and lack of soil in cities, as well as the creation of sewage systems take toxic chemicals directly to the river. </w:t>
      </w:r>
    </w:p>
    <w:p w:rsidR="00B23758" w:rsidRPr="008B0A88" w:rsidRDefault="00B23758" w:rsidP="00B23758">
      <w:pPr>
        <w:spacing w:line="240" w:lineRule="auto"/>
        <w:rPr>
          <w:sz w:val="20"/>
          <w:lang w:val="en-US"/>
        </w:rPr>
      </w:pPr>
      <w:r w:rsidRPr="008B0A88">
        <w:rPr>
          <w:sz w:val="20"/>
          <w:lang w:val="en-US"/>
        </w:rPr>
        <w:t xml:space="preserve">Social Stress: Individuals in cities are exposed to many different factors such as crime, traffic congestion, housing shortages and ethnical divisions. These factors affect the well being and performance of individuals in society. </w:t>
      </w:r>
    </w:p>
    <w:p w:rsidR="00B23758" w:rsidRPr="008B0A88" w:rsidRDefault="00B23758" w:rsidP="00B23758">
      <w:pPr>
        <w:spacing w:line="240" w:lineRule="auto"/>
        <w:rPr>
          <w:sz w:val="20"/>
          <w:lang w:val="en-US"/>
        </w:rPr>
      </w:pPr>
      <w:r w:rsidRPr="008B0A88">
        <w:rPr>
          <w:sz w:val="20"/>
          <w:lang w:val="en-US"/>
        </w:rPr>
        <w:t xml:space="preserve">An </w:t>
      </w:r>
      <w:r w:rsidRPr="008B0A88">
        <w:rPr>
          <w:b/>
          <w:sz w:val="20"/>
          <w:lang w:val="en-US"/>
        </w:rPr>
        <w:t xml:space="preserve">urban microclimate </w:t>
      </w:r>
      <w:r w:rsidRPr="008B0A88">
        <w:rPr>
          <w:sz w:val="20"/>
          <w:lang w:val="en-US"/>
        </w:rPr>
        <w:t>is made up of variations in factors such as wind, rain and temperature; normally due to the different topographies of cities.</w:t>
      </w:r>
    </w:p>
    <w:p w:rsidR="00D96AB7" w:rsidRPr="008B0A88" w:rsidRDefault="00B23758" w:rsidP="00B23758">
      <w:pPr>
        <w:spacing w:line="240" w:lineRule="auto"/>
        <w:rPr>
          <w:rStyle w:val="IntenseReference"/>
          <w:b w:val="0"/>
          <w:bCs w:val="0"/>
          <w:smallCaps w:val="0"/>
          <w:color w:val="auto"/>
          <w:spacing w:val="0"/>
          <w:sz w:val="20"/>
          <w:u w:val="none"/>
          <w:lang w:val="en-US"/>
        </w:rPr>
      </w:pPr>
      <w:r w:rsidRPr="008B0A88">
        <w:rPr>
          <w:sz w:val="20"/>
          <w:lang w:val="en-US"/>
        </w:rPr>
        <w:t xml:space="preserve">Urban environments act differently than rural environments due to the development of cities. The materials used for buildings have varying physical and thermal properties, buildings intercept the prevailing wind, thus reducing its effect on the climate. Buildings and tarmac from roads absorb a lot of heat due to its low </w:t>
      </w:r>
      <w:proofErr w:type="spellStart"/>
      <w:r w:rsidRPr="008B0A88">
        <w:rPr>
          <w:sz w:val="20"/>
          <w:lang w:val="en-US"/>
        </w:rPr>
        <w:t>albedo</w:t>
      </w:r>
      <w:proofErr w:type="spellEnd"/>
      <w:r w:rsidRPr="008B0A88">
        <w:rPr>
          <w:sz w:val="20"/>
          <w:lang w:val="en-US"/>
        </w:rPr>
        <w:t>. When heat from tarmac is released it is trapped again by the surrounding buildings. The lack of vegetation also limits water evaporation, which releases a lot of heat from the environment. Due to all this factors the urban environments present a very different climate from the one in their nearby greenbelt.</w:t>
      </w:r>
    </w:p>
    <w:p w:rsidR="00D96AB7" w:rsidRPr="008B0A88" w:rsidRDefault="00D96AB7" w:rsidP="00D96AB7">
      <w:pPr>
        <w:spacing w:after="0" w:line="240" w:lineRule="auto"/>
        <w:rPr>
          <w:rStyle w:val="IntenseReference"/>
          <w:rFonts w:ascii="Calibri" w:eastAsia="Calibri" w:hAnsi="Calibri" w:cs="Calibri"/>
          <w:sz w:val="16"/>
          <w:szCs w:val="20"/>
          <w:lang w:val="en-US"/>
        </w:rPr>
      </w:pPr>
      <w:r w:rsidRPr="008B0A88">
        <w:rPr>
          <w:rStyle w:val="IntenseReference"/>
          <w:rFonts w:ascii="Calibri" w:eastAsia="Calibri" w:hAnsi="Calibri" w:cs="Calibri"/>
          <w:sz w:val="16"/>
          <w:szCs w:val="20"/>
          <w:lang w:val="en-US"/>
        </w:rPr>
        <w:t>Copenhagen case study:</w:t>
      </w:r>
    </w:p>
    <w:p w:rsidR="00D96AB7" w:rsidRPr="008B0A88" w:rsidRDefault="00D96AB7" w:rsidP="00D96AB7">
      <w:pPr>
        <w:pStyle w:val="NoSpacing"/>
        <w:rPr>
          <w:rFonts w:cs="Calibri"/>
          <w:b/>
          <w:sz w:val="16"/>
          <w:szCs w:val="20"/>
        </w:rPr>
      </w:pPr>
      <w:r w:rsidRPr="008B0A88">
        <w:rPr>
          <w:rFonts w:cs="Calibri"/>
          <w:b/>
          <w:sz w:val="16"/>
          <w:szCs w:val="20"/>
        </w:rPr>
        <w:t>Cycles:</w:t>
      </w:r>
    </w:p>
    <w:p w:rsidR="00D96AB7" w:rsidRPr="008B0A88" w:rsidRDefault="00D96AB7" w:rsidP="00D96AB7">
      <w:pPr>
        <w:pStyle w:val="NoSpacing"/>
        <w:rPr>
          <w:rFonts w:cs="Calibri"/>
          <w:sz w:val="16"/>
          <w:szCs w:val="20"/>
        </w:rPr>
      </w:pPr>
      <w:r w:rsidRPr="008B0A88">
        <w:rPr>
          <w:rFonts w:cs="Calibri"/>
          <w:sz w:val="16"/>
          <w:szCs w:val="20"/>
        </w:rPr>
        <w:t xml:space="preserve">- Aiming for the world’s best city for cyclists in 2015   -55% of all Copenhageners cycle to </w:t>
      </w:r>
      <w:proofErr w:type="gramStart"/>
      <w:r w:rsidRPr="008B0A88">
        <w:rPr>
          <w:rFonts w:cs="Calibri"/>
          <w:sz w:val="16"/>
          <w:szCs w:val="20"/>
        </w:rPr>
        <w:t>work  -</w:t>
      </w:r>
      <w:proofErr w:type="gramEnd"/>
      <w:r w:rsidRPr="008B0A88">
        <w:rPr>
          <w:rFonts w:cs="Calibri"/>
          <w:sz w:val="16"/>
          <w:szCs w:val="20"/>
        </w:rPr>
        <w:t>More than 150 000  citizens use bicycles</w:t>
      </w:r>
    </w:p>
    <w:p w:rsidR="00D96AB7" w:rsidRPr="008B0A88" w:rsidRDefault="00D96AB7" w:rsidP="00D96AB7">
      <w:pPr>
        <w:pStyle w:val="NoSpacing"/>
        <w:rPr>
          <w:rFonts w:cs="Calibri"/>
          <w:sz w:val="16"/>
          <w:szCs w:val="20"/>
        </w:rPr>
      </w:pPr>
      <w:r w:rsidRPr="008B0A88">
        <w:rPr>
          <w:rFonts w:cs="Calibri"/>
          <w:sz w:val="16"/>
          <w:szCs w:val="20"/>
        </w:rPr>
        <w:t>Ways they improved the city</w:t>
      </w:r>
    </w:p>
    <w:p w:rsidR="00D96AB7" w:rsidRPr="008B0A88" w:rsidRDefault="00D96AB7" w:rsidP="00D96AB7">
      <w:pPr>
        <w:pStyle w:val="NoSpacing"/>
        <w:rPr>
          <w:rFonts w:cs="Calibri"/>
          <w:sz w:val="16"/>
          <w:szCs w:val="20"/>
        </w:rPr>
      </w:pPr>
      <w:r w:rsidRPr="008B0A88">
        <w:rPr>
          <w:rFonts w:cs="Calibri"/>
          <w:sz w:val="16"/>
          <w:szCs w:val="20"/>
        </w:rPr>
        <w:t>-Bicycle lanes next to all roads.   -Special traffic lights for bicycles</w:t>
      </w:r>
    </w:p>
    <w:p w:rsidR="00D96AB7" w:rsidRPr="008B0A88" w:rsidRDefault="00D96AB7" w:rsidP="00D96AB7">
      <w:pPr>
        <w:pStyle w:val="NoSpacing"/>
        <w:rPr>
          <w:rFonts w:cs="Calibri"/>
          <w:b/>
          <w:sz w:val="16"/>
          <w:szCs w:val="20"/>
        </w:rPr>
      </w:pPr>
      <w:r w:rsidRPr="008B0A88">
        <w:rPr>
          <w:rFonts w:cs="Calibri"/>
          <w:b/>
          <w:sz w:val="16"/>
          <w:szCs w:val="20"/>
        </w:rPr>
        <w:t>Problems:</w:t>
      </w:r>
    </w:p>
    <w:p w:rsidR="00D96AB7" w:rsidRPr="008B0A88" w:rsidRDefault="00D96AB7" w:rsidP="00D96AB7">
      <w:pPr>
        <w:pStyle w:val="NoSpacing"/>
        <w:rPr>
          <w:rFonts w:cs="Calibri"/>
          <w:sz w:val="16"/>
          <w:szCs w:val="20"/>
        </w:rPr>
      </w:pPr>
      <w:r w:rsidRPr="008B0A88">
        <w:rPr>
          <w:rFonts w:cs="Calibri"/>
          <w:sz w:val="16"/>
          <w:szCs w:val="20"/>
        </w:rPr>
        <w:t xml:space="preserve">-Bicycle </w:t>
      </w:r>
      <w:proofErr w:type="gramStart"/>
      <w:r w:rsidRPr="008B0A88">
        <w:rPr>
          <w:rFonts w:cs="Calibri"/>
          <w:sz w:val="16"/>
          <w:szCs w:val="20"/>
        </w:rPr>
        <w:t>parking  -</w:t>
      </w:r>
      <w:proofErr w:type="gramEnd"/>
      <w:r w:rsidRPr="008B0A88">
        <w:rPr>
          <w:rFonts w:cs="Calibri"/>
          <w:sz w:val="16"/>
          <w:szCs w:val="20"/>
        </w:rPr>
        <w:t xml:space="preserve"> Bike stands throughout the city   - Private and public parking   -Residential areas</w:t>
      </w:r>
    </w:p>
    <w:p w:rsidR="00D96AB7" w:rsidRPr="008B0A88" w:rsidRDefault="00D96AB7" w:rsidP="00D96AB7">
      <w:pPr>
        <w:pStyle w:val="NoSpacing"/>
        <w:rPr>
          <w:rFonts w:cs="Calibri"/>
          <w:b/>
          <w:sz w:val="16"/>
          <w:szCs w:val="20"/>
        </w:rPr>
      </w:pPr>
      <w:r w:rsidRPr="008B0A88">
        <w:rPr>
          <w:rFonts w:cs="Calibri"/>
          <w:b/>
          <w:sz w:val="16"/>
          <w:szCs w:val="20"/>
        </w:rPr>
        <w:t>Main benefits:</w:t>
      </w:r>
    </w:p>
    <w:p w:rsidR="00D96AB7" w:rsidRPr="008B0A88" w:rsidRDefault="00D96AB7" w:rsidP="00D96AB7">
      <w:pPr>
        <w:pStyle w:val="NoSpacing"/>
        <w:rPr>
          <w:rFonts w:cs="Calibri"/>
          <w:sz w:val="16"/>
          <w:szCs w:val="20"/>
        </w:rPr>
      </w:pPr>
      <w:r w:rsidRPr="008B0A88">
        <w:rPr>
          <w:rFonts w:cs="Calibri"/>
          <w:sz w:val="16"/>
          <w:szCs w:val="20"/>
        </w:rPr>
        <w:t>-Reduction by the 10% of cars -New bicycle lanes can accommodate 15-20% more bikers -Quick and safe transport</w:t>
      </w:r>
    </w:p>
    <w:p w:rsidR="00D96AB7" w:rsidRPr="008B0A88" w:rsidRDefault="00D96AB7" w:rsidP="00D96AB7">
      <w:pPr>
        <w:pStyle w:val="NoSpacing"/>
        <w:rPr>
          <w:rFonts w:cs="Calibri"/>
          <w:sz w:val="16"/>
          <w:szCs w:val="20"/>
        </w:rPr>
      </w:pPr>
      <w:r w:rsidRPr="008B0A88">
        <w:rPr>
          <w:rFonts w:cs="Calibri"/>
          <w:sz w:val="16"/>
          <w:szCs w:val="20"/>
        </w:rPr>
        <w:t>-Cheap -Healthier citizens</w:t>
      </w:r>
    </w:p>
    <w:p w:rsidR="00D96AB7" w:rsidRPr="008B0A88" w:rsidRDefault="00D96AB7" w:rsidP="00D96AB7">
      <w:pPr>
        <w:spacing w:after="0" w:line="240" w:lineRule="auto"/>
        <w:rPr>
          <w:rFonts w:ascii="Calibri" w:eastAsia="Calibri" w:hAnsi="Calibri" w:cs="Calibri"/>
          <w:b/>
          <w:sz w:val="16"/>
          <w:szCs w:val="20"/>
          <w:u w:val="single"/>
          <w:lang w:val="en-US"/>
        </w:rPr>
      </w:pPr>
      <w:r w:rsidRPr="008B0A88">
        <w:rPr>
          <w:rFonts w:ascii="Calibri" w:eastAsia="Calibri" w:hAnsi="Calibri" w:cs="Calibri"/>
          <w:b/>
          <w:sz w:val="16"/>
          <w:szCs w:val="20"/>
          <w:u w:val="single"/>
          <w:lang w:val="en-US"/>
        </w:rPr>
        <w:t xml:space="preserve">Wind Power: </w:t>
      </w:r>
    </w:p>
    <w:p w:rsidR="00D96AB7" w:rsidRPr="008B0A88" w:rsidRDefault="00D96AB7" w:rsidP="00D96AB7">
      <w:pPr>
        <w:spacing w:after="0" w:line="240" w:lineRule="auto"/>
        <w:rPr>
          <w:rFonts w:ascii="Calibri" w:eastAsia="Calibri" w:hAnsi="Calibri" w:cs="Calibri"/>
          <w:sz w:val="16"/>
          <w:szCs w:val="20"/>
          <w:lang w:val="en-US"/>
        </w:rPr>
      </w:pPr>
      <w:r w:rsidRPr="008B0A88">
        <w:rPr>
          <w:rFonts w:ascii="Calibri" w:eastAsia="Calibri" w:hAnsi="Calibri" w:cs="Calibri"/>
          <w:sz w:val="16"/>
          <w:szCs w:val="20"/>
          <w:lang w:val="en-US"/>
        </w:rPr>
        <w:t>-Danish government aim to turn 50% of electricity into wind power by 2030.</w:t>
      </w:r>
    </w:p>
    <w:p w:rsidR="00D96AB7" w:rsidRPr="008B0A88" w:rsidRDefault="00D96AB7" w:rsidP="00D96AB7">
      <w:pPr>
        <w:spacing w:after="0" w:line="240" w:lineRule="auto"/>
        <w:rPr>
          <w:rFonts w:ascii="Calibri" w:eastAsia="Calibri" w:hAnsi="Calibri" w:cs="Calibri"/>
          <w:sz w:val="16"/>
          <w:szCs w:val="20"/>
          <w:lang w:val="en-US"/>
        </w:rPr>
      </w:pPr>
      <w:r w:rsidRPr="008B0A88">
        <w:rPr>
          <w:rFonts w:ascii="Calibri" w:eastAsia="Calibri" w:hAnsi="Calibri" w:cs="Calibri"/>
          <w:sz w:val="16"/>
          <w:szCs w:val="20"/>
          <w:lang w:val="en-US"/>
        </w:rPr>
        <w:t xml:space="preserve">-Wind farm project:  </w:t>
      </w:r>
      <w:proofErr w:type="spellStart"/>
      <w:r w:rsidRPr="008B0A88">
        <w:rPr>
          <w:rFonts w:ascii="Calibri" w:eastAsia="Calibri" w:hAnsi="Calibri" w:cs="Calibri"/>
          <w:sz w:val="16"/>
          <w:szCs w:val="20"/>
          <w:lang w:val="en-US"/>
        </w:rPr>
        <w:t>Middelgrunden</w:t>
      </w:r>
      <w:proofErr w:type="spellEnd"/>
      <w:r w:rsidRPr="008B0A88">
        <w:rPr>
          <w:rFonts w:ascii="Calibri" w:eastAsia="Calibri" w:hAnsi="Calibri" w:cs="Calibri"/>
          <w:sz w:val="16"/>
          <w:szCs w:val="20"/>
          <w:lang w:val="en-US"/>
        </w:rPr>
        <w:t xml:space="preserve">. </w:t>
      </w:r>
      <w:proofErr w:type="gramStart"/>
      <w:r w:rsidRPr="008B0A88">
        <w:rPr>
          <w:rFonts w:ascii="Calibri" w:eastAsia="Calibri" w:hAnsi="Calibri" w:cs="Calibri"/>
          <w:sz w:val="16"/>
          <w:szCs w:val="20"/>
          <w:lang w:val="en-US"/>
        </w:rPr>
        <w:t>Aims to produce wind energy not only for Copenhagen but also general national consumption and international customers.</w:t>
      </w:r>
      <w:proofErr w:type="gramEnd"/>
    </w:p>
    <w:p w:rsidR="00D96AB7" w:rsidRPr="008B0A88" w:rsidRDefault="00D96AB7" w:rsidP="00D96AB7">
      <w:pPr>
        <w:spacing w:after="0" w:line="240" w:lineRule="auto"/>
        <w:rPr>
          <w:rFonts w:ascii="Calibri" w:eastAsia="Calibri" w:hAnsi="Calibri" w:cs="Calibri"/>
          <w:sz w:val="16"/>
          <w:szCs w:val="20"/>
          <w:lang w:val="en-US"/>
        </w:rPr>
      </w:pPr>
      <w:r w:rsidRPr="008B0A88">
        <w:rPr>
          <w:rFonts w:ascii="Calibri" w:eastAsia="Calibri" w:hAnsi="Calibri" w:cs="Calibri"/>
          <w:sz w:val="16"/>
          <w:szCs w:val="20"/>
          <w:lang w:val="en-US"/>
        </w:rPr>
        <w:t>-</w:t>
      </w:r>
      <w:proofErr w:type="spellStart"/>
      <w:r w:rsidRPr="008B0A88">
        <w:rPr>
          <w:rFonts w:ascii="Calibri" w:eastAsia="Calibri" w:hAnsi="Calibri" w:cs="Calibri"/>
          <w:sz w:val="16"/>
          <w:szCs w:val="20"/>
          <w:lang w:val="en-US"/>
        </w:rPr>
        <w:t>Middelgrunden</w:t>
      </w:r>
      <w:proofErr w:type="spellEnd"/>
      <w:r w:rsidRPr="008B0A88">
        <w:rPr>
          <w:rFonts w:ascii="Calibri" w:eastAsia="Calibri" w:hAnsi="Calibri" w:cs="Calibri"/>
          <w:sz w:val="16"/>
          <w:szCs w:val="20"/>
          <w:lang w:val="en-US"/>
        </w:rPr>
        <w:t xml:space="preserve"> consists of an off shore wind farm project. </w:t>
      </w:r>
      <w:proofErr w:type="gramStart"/>
      <w:r w:rsidRPr="008B0A88">
        <w:rPr>
          <w:rFonts w:ascii="Calibri" w:eastAsia="Calibri" w:hAnsi="Calibri" w:cs="Calibri"/>
          <w:sz w:val="16"/>
          <w:szCs w:val="20"/>
          <w:lang w:val="en-US"/>
        </w:rPr>
        <w:t>Bases on a partnership between municipality and local shareholders.</w:t>
      </w:r>
      <w:proofErr w:type="gramEnd"/>
      <w:r w:rsidRPr="008B0A88">
        <w:rPr>
          <w:rFonts w:ascii="Calibri" w:eastAsia="Calibri" w:hAnsi="Calibri" w:cs="Calibri"/>
          <w:sz w:val="16"/>
          <w:szCs w:val="20"/>
          <w:lang w:val="en-US"/>
        </w:rPr>
        <w:t xml:space="preserve"> </w:t>
      </w:r>
      <w:proofErr w:type="gramStart"/>
      <w:r w:rsidRPr="008B0A88">
        <w:rPr>
          <w:rFonts w:ascii="Calibri" w:eastAsia="Calibri" w:hAnsi="Calibri" w:cs="Calibri"/>
          <w:sz w:val="16"/>
          <w:szCs w:val="20"/>
          <w:lang w:val="en-US"/>
        </w:rPr>
        <w:t>Consists of 20 turbines (expensive to build, cheap to operate).</w:t>
      </w:r>
      <w:proofErr w:type="gramEnd"/>
      <w:r w:rsidRPr="008B0A88">
        <w:rPr>
          <w:rFonts w:ascii="Calibri" w:eastAsia="Calibri" w:hAnsi="Calibri" w:cs="Calibri"/>
          <w:sz w:val="16"/>
          <w:szCs w:val="20"/>
          <w:lang w:val="en-US"/>
        </w:rPr>
        <w:t xml:space="preserve"> </w:t>
      </w:r>
    </w:p>
    <w:p w:rsidR="00D96AB7" w:rsidRPr="008B0A88" w:rsidRDefault="00D96AB7" w:rsidP="00D96AB7">
      <w:pPr>
        <w:spacing w:after="0" w:line="240" w:lineRule="auto"/>
        <w:rPr>
          <w:rFonts w:ascii="Calibri" w:eastAsia="Calibri" w:hAnsi="Calibri" w:cs="Calibri"/>
          <w:sz w:val="16"/>
          <w:szCs w:val="20"/>
          <w:lang w:val="en-US"/>
        </w:rPr>
      </w:pPr>
      <w:r w:rsidRPr="008B0A88">
        <w:rPr>
          <w:rFonts w:ascii="Calibri" w:eastAsia="Calibri" w:hAnsi="Calibri" w:cs="Calibri"/>
          <w:sz w:val="16"/>
          <w:szCs w:val="20"/>
          <w:lang w:val="en-US"/>
        </w:rPr>
        <w:t xml:space="preserve">-2006: Denmark´s 22% of </w:t>
      </w:r>
      <w:proofErr w:type="spellStart"/>
      <w:r w:rsidRPr="008B0A88">
        <w:rPr>
          <w:rFonts w:ascii="Calibri" w:eastAsia="Calibri" w:hAnsi="Calibri" w:cs="Calibri"/>
          <w:sz w:val="16"/>
          <w:szCs w:val="20"/>
          <w:lang w:val="en-US"/>
        </w:rPr>
        <w:t>it</w:t>
      </w:r>
      <w:proofErr w:type="spellEnd"/>
      <w:r w:rsidRPr="008B0A88">
        <w:rPr>
          <w:rFonts w:ascii="Calibri" w:eastAsia="Calibri" w:hAnsi="Calibri" w:cs="Calibri"/>
          <w:sz w:val="16"/>
          <w:szCs w:val="20"/>
          <w:lang w:val="en-US"/>
        </w:rPr>
        <w:t xml:space="preserve"> total electricity consumption produced by wind turbines.</w:t>
      </w:r>
    </w:p>
    <w:p w:rsidR="00D96AB7" w:rsidRPr="008B0A88" w:rsidRDefault="00D96AB7" w:rsidP="00D96AB7">
      <w:pPr>
        <w:spacing w:after="0" w:line="240" w:lineRule="auto"/>
        <w:rPr>
          <w:rFonts w:ascii="Calibri" w:eastAsia="Calibri" w:hAnsi="Calibri" w:cs="Calibri"/>
          <w:sz w:val="16"/>
          <w:szCs w:val="20"/>
          <w:lang w:val="en-US"/>
        </w:rPr>
      </w:pPr>
      <w:r w:rsidRPr="008B0A88">
        <w:rPr>
          <w:rFonts w:ascii="Calibri" w:eastAsia="Calibri" w:hAnsi="Calibri" w:cs="Calibri"/>
          <w:sz w:val="16"/>
          <w:szCs w:val="20"/>
          <w:lang w:val="en-US"/>
        </w:rPr>
        <w:t>-</w:t>
      </w:r>
      <w:proofErr w:type="spellStart"/>
      <w:r w:rsidRPr="008B0A88">
        <w:rPr>
          <w:rFonts w:ascii="Calibri" w:eastAsia="Calibri" w:hAnsi="Calibri" w:cs="Calibri"/>
          <w:sz w:val="16"/>
          <w:szCs w:val="20"/>
          <w:lang w:val="en-US"/>
        </w:rPr>
        <w:t>Vestas</w:t>
      </w:r>
      <w:proofErr w:type="spellEnd"/>
      <w:r w:rsidRPr="008B0A88">
        <w:rPr>
          <w:rFonts w:ascii="Calibri" w:eastAsia="Calibri" w:hAnsi="Calibri" w:cs="Calibri"/>
          <w:sz w:val="16"/>
          <w:szCs w:val="20"/>
          <w:lang w:val="en-US"/>
        </w:rPr>
        <w:t xml:space="preserve"> Wind Systems A/S biggest wind turbine company (Danish). </w:t>
      </w:r>
    </w:p>
    <w:p w:rsidR="00D96AB7" w:rsidRPr="008B0A88" w:rsidRDefault="00D96AB7" w:rsidP="00D96AB7">
      <w:pPr>
        <w:pStyle w:val="NormalWeb"/>
        <w:spacing w:before="0" w:beforeAutospacing="0" w:after="0" w:afterAutospacing="0"/>
        <w:rPr>
          <w:rFonts w:ascii="Calibri" w:hAnsi="Calibri" w:cs="Calibri"/>
          <w:color w:val="000000"/>
          <w:sz w:val="16"/>
          <w:szCs w:val="20"/>
        </w:rPr>
      </w:pPr>
      <w:r w:rsidRPr="008B0A88">
        <w:rPr>
          <w:rFonts w:ascii="Calibri" w:hAnsi="Calibri" w:cs="Calibri"/>
          <w:color w:val="000000"/>
          <w:sz w:val="16"/>
          <w:szCs w:val="20"/>
        </w:rPr>
        <w:t xml:space="preserve">-To promote investments in wind power families were offered tax deductions if generating their own energy within their own or the neighboring municipality. This incentive resulted in the creation of numerous wind power cooperatives. In 2001, more than 100.000 Danish families were members of a wind power cooperative. </w:t>
      </w:r>
      <w:proofErr w:type="gramStart"/>
      <w:r w:rsidRPr="008B0A88">
        <w:rPr>
          <w:rFonts w:ascii="Calibri" w:hAnsi="Calibri" w:cs="Calibri"/>
          <w:color w:val="000000"/>
          <w:sz w:val="16"/>
          <w:szCs w:val="20"/>
        </w:rPr>
        <w:t>Lots of support by the municipal energy supplier in Copenhagen, Copenhagen Energy.</w:t>
      </w:r>
      <w:proofErr w:type="gramEnd"/>
      <w:r w:rsidRPr="008B0A88">
        <w:rPr>
          <w:rFonts w:ascii="Calibri" w:hAnsi="Calibri" w:cs="Calibri"/>
          <w:color w:val="000000"/>
          <w:sz w:val="16"/>
          <w:szCs w:val="20"/>
        </w:rPr>
        <w:t xml:space="preserve"> </w:t>
      </w:r>
    </w:p>
    <w:p w:rsidR="00D96AB7" w:rsidRPr="008B0A88" w:rsidRDefault="00D96AB7" w:rsidP="00D96AB7">
      <w:pPr>
        <w:pStyle w:val="NormalWeb"/>
        <w:spacing w:before="0" w:beforeAutospacing="0" w:after="0" w:afterAutospacing="0"/>
        <w:rPr>
          <w:rStyle w:val="IntenseReference"/>
          <w:sz w:val="20"/>
        </w:rPr>
      </w:pPr>
      <w:r w:rsidRPr="008B0A88">
        <w:rPr>
          <w:rStyle w:val="IntenseReference"/>
          <w:sz w:val="20"/>
        </w:rPr>
        <w:t>Definitions</w:t>
      </w:r>
    </w:p>
    <w:p w:rsidR="00D96AB7" w:rsidRPr="008B0A88" w:rsidRDefault="00D96AB7" w:rsidP="00D96AB7">
      <w:pPr>
        <w:pStyle w:val="NormalWeb"/>
        <w:spacing w:before="0" w:beforeAutospacing="0" w:after="0" w:afterAutospacing="0"/>
        <w:rPr>
          <w:rFonts w:ascii="Calibri" w:hAnsi="Calibri" w:cs="Calibri"/>
          <w:sz w:val="16"/>
          <w:szCs w:val="20"/>
        </w:rPr>
      </w:pPr>
      <w:r w:rsidRPr="008B0A88">
        <w:rPr>
          <w:rFonts w:ascii="Calibri" w:hAnsi="Calibri" w:cs="Calibri"/>
          <w:sz w:val="16"/>
          <w:szCs w:val="20"/>
        </w:rPr>
        <w:t xml:space="preserve">Urbanization: The result of physical growth of a city due to the global movement from </w:t>
      </w:r>
      <w:proofErr w:type="gramStart"/>
      <w:r w:rsidRPr="008B0A88">
        <w:rPr>
          <w:rFonts w:ascii="Calibri" w:hAnsi="Calibri" w:cs="Calibri"/>
          <w:sz w:val="16"/>
          <w:szCs w:val="20"/>
        </w:rPr>
        <w:t>rural  to</w:t>
      </w:r>
      <w:proofErr w:type="gramEnd"/>
      <w:r w:rsidRPr="008B0A88">
        <w:rPr>
          <w:rFonts w:ascii="Calibri" w:hAnsi="Calibri" w:cs="Calibri"/>
          <w:sz w:val="16"/>
          <w:szCs w:val="20"/>
        </w:rPr>
        <w:t xml:space="preserve"> urban areas </w:t>
      </w:r>
    </w:p>
    <w:p w:rsidR="00D96AB7" w:rsidRPr="008B0A88" w:rsidRDefault="00D96AB7" w:rsidP="00D96AB7">
      <w:pPr>
        <w:pStyle w:val="NormalWeb"/>
        <w:spacing w:before="0" w:beforeAutospacing="0" w:after="0" w:afterAutospacing="0"/>
        <w:rPr>
          <w:rFonts w:ascii="Calibri" w:hAnsi="Calibri" w:cs="Calibri"/>
          <w:sz w:val="16"/>
          <w:szCs w:val="20"/>
        </w:rPr>
      </w:pPr>
      <w:r w:rsidRPr="008B0A88">
        <w:rPr>
          <w:rFonts w:ascii="Calibri" w:hAnsi="Calibri" w:cs="Calibri"/>
          <w:sz w:val="16"/>
          <w:szCs w:val="20"/>
        </w:rPr>
        <w:t xml:space="preserve">Global megacities: </w:t>
      </w:r>
      <w:r w:rsidRPr="008B0A88">
        <w:rPr>
          <w:rStyle w:val="apple-converted-space"/>
          <w:rFonts w:ascii="Calibri" w:hAnsi="Calibri" w:cs="Calibri"/>
          <w:color w:val="000000"/>
          <w:sz w:val="16"/>
          <w:szCs w:val="20"/>
          <w:shd w:val="clear" w:color="auto" w:fill="FFFFFF"/>
        </w:rPr>
        <w:t> </w:t>
      </w:r>
      <w:r w:rsidRPr="008B0A88">
        <w:rPr>
          <w:rStyle w:val="apple-style-span"/>
          <w:rFonts w:ascii="Calibri" w:hAnsi="Calibri" w:cs="Calibri"/>
          <w:color w:val="000000"/>
          <w:sz w:val="16"/>
          <w:szCs w:val="20"/>
          <w:shd w:val="clear" w:color="auto" w:fill="FFFFFF"/>
        </w:rPr>
        <w:t>A megacity can be a single</w:t>
      </w:r>
      <w:r w:rsidRPr="008B0A88">
        <w:rPr>
          <w:rStyle w:val="apple-converted-space"/>
          <w:rFonts w:ascii="Calibri" w:hAnsi="Calibri" w:cs="Calibri"/>
          <w:color w:val="000000"/>
          <w:sz w:val="16"/>
          <w:szCs w:val="20"/>
          <w:shd w:val="clear" w:color="auto" w:fill="FFFFFF"/>
        </w:rPr>
        <w:t> </w:t>
      </w:r>
      <w:r w:rsidRPr="008B0A88">
        <w:rPr>
          <w:rStyle w:val="apple-style-span"/>
          <w:rFonts w:ascii="Calibri" w:hAnsi="Calibri" w:cs="Calibri"/>
          <w:color w:val="000000"/>
          <w:sz w:val="16"/>
          <w:szCs w:val="20"/>
          <w:shd w:val="clear" w:color="auto" w:fill="FFFFFF"/>
        </w:rPr>
        <w:t>metropolitan area</w:t>
      </w:r>
      <w:r w:rsidRPr="008B0A88">
        <w:rPr>
          <w:rStyle w:val="apple-converted-space"/>
          <w:rFonts w:ascii="Calibri" w:hAnsi="Calibri" w:cs="Calibri"/>
          <w:color w:val="000000"/>
          <w:sz w:val="16"/>
          <w:szCs w:val="20"/>
          <w:shd w:val="clear" w:color="auto" w:fill="FFFFFF"/>
        </w:rPr>
        <w:t> </w:t>
      </w:r>
      <w:r w:rsidRPr="008B0A88">
        <w:rPr>
          <w:rStyle w:val="apple-style-span"/>
          <w:rFonts w:ascii="Calibri" w:hAnsi="Calibri" w:cs="Calibri"/>
          <w:color w:val="000000"/>
          <w:sz w:val="16"/>
          <w:szCs w:val="20"/>
          <w:shd w:val="clear" w:color="auto" w:fill="FFFFFF"/>
        </w:rPr>
        <w:t>or two or more metropolitan areas that converge</w:t>
      </w:r>
    </w:p>
    <w:sectPr w:rsidR="00D96AB7" w:rsidRPr="008B0A88" w:rsidSect="002A47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96AB7"/>
    <w:rsid w:val="00027018"/>
    <w:rsid w:val="000C407F"/>
    <w:rsid w:val="002A479F"/>
    <w:rsid w:val="005A533B"/>
    <w:rsid w:val="0060109B"/>
    <w:rsid w:val="00622A6C"/>
    <w:rsid w:val="007E2F0E"/>
    <w:rsid w:val="00845972"/>
    <w:rsid w:val="008B0A88"/>
    <w:rsid w:val="008B6265"/>
    <w:rsid w:val="00B23758"/>
    <w:rsid w:val="00BE0D40"/>
    <w:rsid w:val="00D23432"/>
    <w:rsid w:val="00D4623A"/>
    <w:rsid w:val="00D81EC2"/>
    <w:rsid w:val="00D96AB7"/>
    <w:rsid w:val="00DA5149"/>
    <w:rsid w:val="00EC29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6A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Reference">
    <w:name w:val="Intense Reference"/>
    <w:uiPriority w:val="32"/>
    <w:qFormat/>
    <w:rsid w:val="00D96AB7"/>
    <w:rPr>
      <w:b/>
      <w:bCs/>
      <w:smallCaps/>
      <w:color w:val="C0504D"/>
      <w:spacing w:val="5"/>
      <w:u w:val="single"/>
    </w:rPr>
  </w:style>
  <w:style w:type="paragraph" w:styleId="NoSpacing">
    <w:name w:val="No Spacing"/>
    <w:uiPriority w:val="1"/>
    <w:qFormat/>
    <w:rsid w:val="00D96AB7"/>
    <w:pPr>
      <w:spacing w:after="0" w:line="240" w:lineRule="auto"/>
    </w:pPr>
    <w:rPr>
      <w:rFonts w:ascii="Calibri" w:eastAsia="Calibri" w:hAnsi="Calibri" w:cs="Times New Roman"/>
      <w:lang w:val="en-US"/>
    </w:rPr>
  </w:style>
  <w:style w:type="character" w:customStyle="1" w:styleId="apple-style-span">
    <w:name w:val="apple-style-span"/>
    <w:basedOn w:val="DefaultParagraphFont"/>
    <w:rsid w:val="00D96AB7"/>
  </w:style>
  <w:style w:type="character" w:customStyle="1" w:styleId="apple-converted-space">
    <w:name w:val="apple-converted-space"/>
    <w:basedOn w:val="DefaultParagraphFont"/>
    <w:rsid w:val="00D96A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hdavies</cp:lastModifiedBy>
  <cp:revision>2</cp:revision>
  <dcterms:created xsi:type="dcterms:W3CDTF">2011-10-20T14:27:00Z</dcterms:created>
  <dcterms:modified xsi:type="dcterms:W3CDTF">2011-10-20T14:27:00Z</dcterms:modified>
</cp:coreProperties>
</file>